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E02" w:rsidRPr="00017DA7" w:rsidRDefault="00B12E02" w:rsidP="00031084">
      <w:pPr>
        <w:widowControl/>
        <w:spacing w:line="495" w:lineRule="atLeast"/>
        <w:jc w:val="center"/>
        <w:rPr>
          <w:rFonts w:ascii="楷体_GB2312" w:eastAsia="楷体_GB2312" w:hAnsi="ˎ̥" w:cs="宋体" w:hint="eastAsia"/>
          <w:b/>
          <w:bCs/>
          <w:kern w:val="0"/>
          <w:sz w:val="30"/>
          <w:szCs w:val="30"/>
        </w:rPr>
      </w:pPr>
      <w:r w:rsidRPr="00017DA7">
        <w:rPr>
          <w:rFonts w:ascii="楷体_GB2312" w:eastAsia="楷体_GB2312" w:hAnsi="ˎ̥" w:cs="宋体" w:hint="eastAsia"/>
          <w:b/>
          <w:bCs/>
          <w:kern w:val="0"/>
          <w:sz w:val="30"/>
          <w:szCs w:val="30"/>
        </w:rPr>
        <w:t>国家高技术研究发展计划（863计划）新材料技术领域2014年度备选项目征集指南</w:t>
      </w:r>
    </w:p>
    <w:p w:rsidR="00031084" w:rsidRPr="00195DDE" w:rsidRDefault="00031084" w:rsidP="00031084">
      <w:pPr>
        <w:widowControl/>
        <w:jc w:val="center"/>
        <w:rPr>
          <w:rFonts w:ascii="楷体_GB2312" w:eastAsia="楷体_GB2312" w:hAnsi="宋体" w:cs="宋体" w:hint="eastAsia"/>
          <w:color w:val="444444"/>
          <w:kern w:val="0"/>
          <w:sz w:val="28"/>
          <w:szCs w:val="28"/>
        </w:rPr>
      </w:pPr>
    </w:p>
    <w:p w:rsidR="00B12E02" w:rsidRPr="00195DDE" w:rsidRDefault="00B457DF" w:rsidP="00031084">
      <w:pPr>
        <w:widowControl/>
        <w:spacing w:line="405" w:lineRule="atLeast"/>
        <w:jc w:val="left"/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</w:pP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一、指南方向与内容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1.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新型电子材料与器件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1.1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第三代半导体材料及应用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1.1.1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高质量第三代半导体材料关键技术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开展第三代半导体材料大尺寸、低成本、高质量衬底制备和外延技术研究，突破相关核心关键技术，满足高温、高频、高效大功率器件研制的需求。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1.1.2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第三代半导体器件制备及评价技术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开展第三代半导体芯片制备、器件封装技术和工艺研究，开发低成本批量生产技术，研究材料和组件失效机理与寿命快速评价方法，满足高效新型大功率电力电子、通信、光电等领域的应用需求。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1.2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新型存储材料与器件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1.2.1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新型超高密度存储与</w:t>
      </w:r>
      <w:proofErr w:type="gramStart"/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磁电子</w:t>
      </w:r>
      <w:proofErr w:type="gramEnd"/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材料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开展相变存储器和</w:t>
      </w:r>
      <w:proofErr w:type="gramStart"/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磁随机存储器</w:t>
      </w:r>
      <w:proofErr w:type="gramEnd"/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关键材料与器件研究，发展</w:t>
      </w:r>
      <w:proofErr w:type="gramStart"/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磁电子</w:t>
      </w:r>
      <w:proofErr w:type="gramEnd"/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材料与器件技术。相变存储器在移动互联网等领域获得应用；磁随机存储器与</w:t>
      </w:r>
      <w:proofErr w:type="gramStart"/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磁电子</w:t>
      </w:r>
      <w:proofErr w:type="gramEnd"/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材料关键技术实现突破。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2.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材料设计制备与安全服役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2.1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材料的设计、制备与表征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2.1.1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材料高通量设计、制备与表征技术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lastRenderedPageBreak/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研究材料高通量、多层次跨尺度一体化设计、高效制备和表征的新方法和新技术，开发面向材料设计的数据挖掘技术与数据平台，实现材料成分、组织和性能的精确调控，在新型功能材料、高性能结构材料的研究开发方面获得实际应用。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2.2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材料的安全服役和高效利用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2.2.1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材料全寿命周期设计制备技术与服役行为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研究材料在各种复杂环境条件下的服役行为、失效机理及其寿命预测、评价和延寿技术，开发材料全寿命周期生态设计制备技术，实现材料的高效利用、</w:t>
      </w:r>
      <w:proofErr w:type="gramStart"/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低环境</w:t>
      </w:r>
      <w:proofErr w:type="gramEnd"/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负荷与资源消耗。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3.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新型显示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3.1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柔性及超高分辨率显示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3.1.1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柔性显示技术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研究柔性显示的基板材料、发光与显示材料、薄膜封装材料，突破器件设计、功能膜层制备等关键技术，开发30英寸、弯曲半径小于100mm的全彩色高画质柔性显示屏，满足显示产业应用需求。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3.1.2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超高分辨率显示关键技术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研发快速响应显示材料和高精细彩色滤光膜，突破TFT制备、多区域动态背光扫描、液晶透镜等关键技术，开发出8k×4k超高分辨率显示面板，攻克整机集成技术并形成工程化能力。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4.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新型功能与智能材料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4.1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生物医用材料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4.1.1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新型生物医用植入材料技术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lastRenderedPageBreak/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开展新型轻质高强可控降解植入材料、高性能假体用材料，以及适应新型临床治疗技术发展的新一代骨和口腔修复材料研究，完成制品临床前评价。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5.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先进结构与复合材料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5.1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高分子结构材料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5.1.1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新型高分子结构及其复合材料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研发分子结构可控的高强、高韧、高模、耐温、耐磨、环境友好的高分子结构与复合材料；突破薄膜和泡沫专用料及新型树脂的制备技术，在相关领域获得应用。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二、指南申报要求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1.实施年限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项目实施年限原则上为3年。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2.申报说明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本指南申报方向均为前沿技术类。须按指南三级标题（如：1.1.1）的研究方向进行项目申报，可针对其中的部分研究内容申报，每个项目的国拨经费控制额不超过1000万元。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3.申报咨询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联系人：史冬梅、蒋志君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 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电</w:t>
      </w:r>
      <w:r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</w:t>
      </w:r>
      <w:r w:rsidR="00B12E02" w:rsidRPr="00195DDE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话：010-68338021、68338919</w:t>
      </w:r>
    </w:p>
    <w:p w:rsidR="00681485" w:rsidRPr="00195DDE" w:rsidRDefault="00681485">
      <w:pPr>
        <w:rPr>
          <w:rFonts w:ascii="楷体_GB2312" w:eastAsia="楷体_GB2312" w:hint="eastAsia"/>
          <w:sz w:val="28"/>
          <w:szCs w:val="28"/>
        </w:rPr>
      </w:pPr>
    </w:p>
    <w:sectPr w:rsidR="00681485" w:rsidRPr="00195DDE" w:rsidSect="006814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5FE" w:rsidRDefault="003835FE" w:rsidP="00031084">
      <w:r>
        <w:separator/>
      </w:r>
    </w:p>
  </w:endnote>
  <w:endnote w:type="continuationSeparator" w:id="0">
    <w:p w:rsidR="003835FE" w:rsidRDefault="003835FE" w:rsidP="00031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5FE" w:rsidRDefault="003835FE" w:rsidP="00031084">
      <w:r>
        <w:separator/>
      </w:r>
    </w:p>
  </w:footnote>
  <w:footnote w:type="continuationSeparator" w:id="0">
    <w:p w:rsidR="003835FE" w:rsidRDefault="003835FE" w:rsidP="000310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1084"/>
    <w:rsid w:val="00017DA7"/>
    <w:rsid w:val="00024F0D"/>
    <w:rsid w:val="00031084"/>
    <w:rsid w:val="00151C67"/>
    <w:rsid w:val="00195DDE"/>
    <w:rsid w:val="001E027F"/>
    <w:rsid w:val="003835FE"/>
    <w:rsid w:val="003D749B"/>
    <w:rsid w:val="00444DE2"/>
    <w:rsid w:val="004D1CB6"/>
    <w:rsid w:val="00520964"/>
    <w:rsid w:val="00552AF8"/>
    <w:rsid w:val="00567F99"/>
    <w:rsid w:val="00586904"/>
    <w:rsid w:val="005E273E"/>
    <w:rsid w:val="00677575"/>
    <w:rsid w:val="00681485"/>
    <w:rsid w:val="006973E3"/>
    <w:rsid w:val="00883177"/>
    <w:rsid w:val="00954180"/>
    <w:rsid w:val="009A34E9"/>
    <w:rsid w:val="00B12E02"/>
    <w:rsid w:val="00B457DF"/>
    <w:rsid w:val="00B6583F"/>
    <w:rsid w:val="00C608A4"/>
    <w:rsid w:val="00CE0B36"/>
    <w:rsid w:val="00D0199D"/>
    <w:rsid w:val="00D42CF5"/>
    <w:rsid w:val="00D67C98"/>
    <w:rsid w:val="00D84F78"/>
    <w:rsid w:val="00DB3E85"/>
    <w:rsid w:val="00DD7CD9"/>
    <w:rsid w:val="00ED1726"/>
    <w:rsid w:val="00F049AF"/>
    <w:rsid w:val="00FA3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10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108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10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1084"/>
    <w:rPr>
      <w:sz w:val="18"/>
      <w:szCs w:val="18"/>
    </w:rPr>
  </w:style>
  <w:style w:type="paragraph" w:styleId="a5">
    <w:name w:val="Normal (Web)"/>
    <w:basedOn w:val="a"/>
    <w:uiPriority w:val="99"/>
    <w:unhideWhenUsed/>
    <w:rsid w:val="000310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3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1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C307EEC-2768-4199-AA25-C7AA96E3E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215</Words>
  <Characters>1229</Characters>
  <Application>Microsoft Office Word</Application>
  <DocSecurity>0</DocSecurity>
  <Lines>10</Lines>
  <Paragraphs>2</Paragraphs>
  <ScaleCrop>false</ScaleCrop>
  <Company>微软中国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2013-04-17T08:15:00Z</dcterms:created>
  <dcterms:modified xsi:type="dcterms:W3CDTF">2013-04-23T09:00:00Z</dcterms:modified>
</cp:coreProperties>
</file>