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033" w:rsidRPr="00C57033" w:rsidRDefault="00C57033" w:rsidP="00B647B3">
      <w:pPr>
        <w:widowControl/>
        <w:spacing w:line="495" w:lineRule="atLeast"/>
        <w:jc w:val="center"/>
        <w:rPr>
          <w:rFonts w:ascii="楷体_GB2312" w:eastAsia="楷体_GB2312" w:hAnsi="ˎ̥" w:cs="宋体" w:hint="eastAsia"/>
          <w:b/>
          <w:bCs/>
          <w:kern w:val="0"/>
          <w:sz w:val="30"/>
          <w:szCs w:val="30"/>
        </w:rPr>
      </w:pPr>
      <w:r w:rsidRPr="00C57033">
        <w:rPr>
          <w:rFonts w:ascii="楷体_GB2312" w:eastAsia="楷体_GB2312" w:hAnsi="ˎ̥" w:cs="宋体" w:hint="eastAsia"/>
          <w:b/>
          <w:bCs/>
          <w:kern w:val="0"/>
          <w:sz w:val="30"/>
          <w:szCs w:val="30"/>
        </w:rPr>
        <w:t>国家高技术研究发展计划（863计划）生物和医药技术领域2014年备选项目征集指南</w:t>
      </w:r>
    </w:p>
    <w:p w:rsidR="00C57033" w:rsidRPr="00C57033" w:rsidRDefault="00AC668B" w:rsidP="00B647B3">
      <w:pPr>
        <w:widowControl/>
        <w:spacing w:line="405" w:lineRule="atLeast"/>
        <w:jc w:val="left"/>
        <w:rPr>
          <w:rFonts w:ascii="楷体_GB2312" w:eastAsia="楷体_GB2312" w:hAnsi="宋体" w:cs="宋体" w:hint="eastAsia"/>
          <w:color w:val="555555"/>
          <w:kern w:val="0"/>
          <w:sz w:val="28"/>
          <w:szCs w:val="28"/>
        </w:rPr>
      </w:pP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一、前沿生物技术主题</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1.蛋白质测序新技术新装备及配套试剂国产化</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（1）阵列毛细管柱蛋白质分离-阵列点样装置</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研制二维阵列毛细管分离新装置，第一维分离柱可分离48个馏分,第二维维阵列毛细管分离柱可同时分离48个流份；开发阵列紫外检测器； 研制多柱点样头并行点样器和流份收集器；开发在线靶上快速酶解装置用于和激光解析基体辅助离子源-分子量鉴定测序装置接口；研制相关控制和数据处理软件。提供一套单通道流速范围200-2500nL/min的二维毛细管阵列分离仪器。</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本方向国拨经费控制额为1500万元，拟支持1个课题，任务实施周期为3年，由企业牵头申报。</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（2）激光解析基体辅助离子源-分子量鉴定蛋白质测序装置</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研制激光解析基体辅助离子源-飞行时间质谱（MALDI-TOFMS）仪器，配有96、384点样孔MALDI靶板；研制适合于MALDI离子源的质谱控制软件和蛋白质库搜索软件。整机可达到5000-6000个以上非冗余蛋白/每天的高速测序能力。</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本方向国拨经费控制额为1500万元，拟支持1个课题，任务实施周期为3年，由企业牵头申报。</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（3）电喷雾离子源-串级质谱测序管家技术及装置研发</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研制多重四级杆-串级质谱仪器（QTOF-MS/MS）并进行高精度串级</w:t>
      </w:r>
      <w:r w:rsidR="00C57033" w:rsidRPr="00C57033">
        <w:rPr>
          <w:rFonts w:ascii="楷体_GB2312" w:eastAsia="楷体_GB2312" w:hAnsi="宋体" w:cs="宋体" w:hint="eastAsia"/>
          <w:color w:val="555555"/>
          <w:kern w:val="0"/>
          <w:sz w:val="28"/>
          <w:szCs w:val="28"/>
        </w:rPr>
        <w:lastRenderedPageBreak/>
        <w:t>质谱分析，研制线性离子阱累加器用以累积目标母离子；研制高稳定电喷雾（ESI）装置实现喷雾肽段溶液并离子化；研制蛋白质库搜索软件和结构解析软件。完成达到6000-7000个以上非冗余蛋白/每天的高速测序能力的整机样机。</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本方向国拨经费控制额为1500万元，拟支持1个课题，任务实施周期为3年，由企业牵头申报。</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（4）蛋白质相互作用仪器和配套试剂国产化</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研发一套基于能量转移均相时间分辨荧光分析技术的高通量全自动蛋白质-蛋白质相互作用分析仪器。开发配套的通用试剂，研究开发均相时间分辨荧光多孔板阵列分析试剂。研究开发3-5种均相时间分辨荧光免疫诊断试剂盒。</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本方向国拨经费控制额为1500万元，拟支持1个课题，任务实施周期为3年，由企业牵头申报。</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（5）蛋白质测序试剂国产化</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构建多肽/重组蛋白制备技术平台，开发与蛋白质测序相关的特异肽段和蛋白标准品、消化酶、多肽纯化试剂、色谱柱、重稳同位素标记内标和细胞培养重稳同位素标记试剂盒等产品。</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本方向国拨经费控制额为1000万元，拟支持2个课题，任务实施周期为3年，由企业牵头申报。</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（6）蛋白质功能分析试剂国产化</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构建多种抗体制备技术平台，研究开发应用于蛋白定性、定量、定位、修饰和功能研究的高特异性、高亲和力的抗体和衍生产品。研制</w:t>
      </w:r>
      <w:r w:rsidR="00C57033" w:rsidRPr="00C57033">
        <w:rPr>
          <w:rFonts w:ascii="楷体_GB2312" w:eastAsia="楷体_GB2312" w:hAnsi="宋体" w:cs="宋体" w:hint="eastAsia"/>
          <w:color w:val="555555"/>
          <w:kern w:val="0"/>
          <w:sz w:val="28"/>
          <w:szCs w:val="28"/>
        </w:rPr>
        <w:lastRenderedPageBreak/>
        <w:t>10项（类）基于多肽/蛋白和抗体的衍生分析试剂。</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本方向国拨经费控制额为1000万元，拟支持2个课题，任务实施周期为3年，由企业牵头申报。</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2. 代谢物组与非编码RNA的系统识别与鉴定关键技术研发</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（1）超灵敏高覆盖代谢组定量分析关键技术研发</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创制一批超灵敏多功能代谢分析探针库，发展多代谢途径高覆盖同步定量测量技术，发展用于未知代谢物结构鉴定、细胞与组织代谢组的无创性原位定量测量技术。</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本方向国拨经费控制额为2000万元，拟支持2个课题，任务实施周期为3年。</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（2）非编码RNA的系统识别与鉴定关键技术研发</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建立非编码RNA的系统识别与鉴定关键技术；构建基于信号通路、大分子相互作用等的非编码RNA识别和功能分析的算法软件平台；建立长非编码RNA数据库及应用软件平台。</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本方向国拨经费控制额为2000万元，拟支持2个课题，任务实施周期为3年。</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3. 微生物数字化信息系统集成关键技术研发</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（1）微生物资源及技术数据集成整合的关键技术研发</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开发基于云技术的微生物数据采集系统和自动汇交管理软件；研究海量、动态、异构、异质微生物数字资源整合的技术框架，整合各类数据资源，构建微生物领域数字化信息系统；开发基于云环境的智能化数据服务及应用平台。</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lastRenderedPageBreak/>
        <w:t xml:space="preserve">  </w:t>
      </w:r>
      <w:r w:rsidR="00C57033" w:rsidRPr="00C57033">
        <w:rPr>
          <w:rFonts w:ascii="楷体_GB2312" w:eastAsia="楷体_GB2312" w:hAnsi="宋体" w:cs="宋体" w:hint="eastAsia"/>
          <w:color w:val="555555"/>
          <w:kern w:val="0"/>
          <w:sz w:val="28"/>
          <w:szCs w:val="28"/>
        </w:rPr>
        <w:t>本方向国拨经费控制额为1000万元，拟支持1个课题，任务实施周期为3年。</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（2）微生物组学数据集成及分析的关键技术研发</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集成海量微生物组学数据，建立数据库系统；开展微生物的基因调控和代谢网络分析研究，研发可对微生物的功能、毒理和致病性机理、工业微生物改造研究提供系统支撑的分析工具集。</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本方向国拨经费控制额为800万元，拟支持1个课题，任务实施周期为3年。</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（3）微生物数字化信息集成标准规范研发及知识库集成</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针对微生物数字资源多样化特点，研究制定微生物数字资源整合的数据标准和信息服务标准；研究基于科学文献的知识挖掘和知识转化技术；建设微生物领域专家、机构、研究项目、技术成果数据库等管理数据库以及检索分析系统。</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本方向国拨经费控制额为700万元，拟支持1个课题，任务实施周期为3年。</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（4）微生物数字资源集成和信息服务关键技术研发</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突破异构、多源、海量、动态微生物信息的按需聚合与集成技术、针对微生物数字资源的垂直检索技术；研发多层次组学数据关联搜索、对接、比较和系统建模分析的新技术和新方法。</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本方向国拨经费控制额为500万元，拟支持1个课题，任务实施周期为3年。</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二、医药生物技术主题</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lastRenderedPageBreak/>
        <w:t xml:space="preserve">  </w:t>
      </w:r>
      <w:r w:rsidR="00C57033" w:rsidRPr="00C57033">
        <w:rPr>
          <w:rFonts w:ascii="楷体_GB2312" w:eastAsia="楷体_GB2312" w:hAnsi="宋体" w:cs="宋体" w:hint="eastAsia"/>
          <w:color w:val="555555"/>
          <w:kern w:val="0"/>
          <w:sz w:val="28"/>
          <w:szCs w:val="28"/>
        </w:rPr>
        <w:t>1. 基于临床信息的肿瘤分子网络研究及关键产品开发</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（1）食管癌的分子网络研究</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完成不少于2,000例食管癌的分子网络分析，研发基于临床信息的食管癌关键分子网络关键技术，实现对食管癌的多维度分子网络分析，用于指导临床食管癌的早期诊断、个性化治疗和预后分析。</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本方向国拨经费控制额为1000万元，拟支持1个课题，任务实施周期为3年。</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（2）肺癌的蛋白质分子网络研究</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完成不少于1,500例肺癌的蛋白质分子网络分析，绘制肺癌相关核心信号通路中由关键节点蛋白质组成的分子网络谱图，包括肺癌细胞生长和肿瘤耐药等谱图，用于以上肿瘤的诊断、耐药分析和治疗、生存预测；发展基于肿瘤分子网络分析的新技术和新型诊疗产品。</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本方向国拨经费控制额为1000万元，拟支持1个课题，任务实施周期为3年。</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（3）胃癌的蛋白质分子网络研究</w:t>
      </w:r>
      <w:r w:rsidR="00C57033" w:rsidRPr="00C57033">
        <w:rPr>
          <w:rFonts w:ascii="宋体" w:eastAsia="楷体_GB2312" w:hAnsi="宋体" w:cs="宋体" w:hint="eastAsia"/>
          <w:color w:val="555555"/>
          <w:kern w:val="0"/>
          <w:sz w:val="28"/>
          <w:szCs w:val="28"/>
        </w:rPr>
        <w:t> </w:t>
      </w:r>
      <w:r w:rsidR="00C57033" w:rsidRPr="00C57033">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完成不少于1,000例胃癌及其对应癌旁组织的样本采集、临床信息集成及蛋白质分子网络构建；绘制胃癌特征性的蛋白质分子表达谱图、生存预测谱图以及耐药信息谱图；发现胃癌分子网络特征模式谱图及其变化规律。</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本方向国拨经费控制额为700万元，拟支持1个课题，任务实施周期为3年。</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（4）乳腺癌的蛋白质分子网络研究</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lastRenderedPageBreak/>
        <w:t xml:space="preserve">  </w:t>
      </w:r>
      <w:r w:rsidR="00C57033" w:rsidRPr="00C57033">
        <w:rPr>
          <w:rFonts w:ascii="楷体_GB2312" w:eastAsia="楷体_GB2312" w:hAnsi="宋体" w:cs="宋体" w:hint="eastAsia"/>
          <w:color w:val="555555"/>
          <w:kern w:val="0"/>
          <w:sz w:val="28"/>
          <w:szCs w:val="28"/>
        </w:rPr>
        <w:t>发展多维可视化的乳腺癌组织蛋白质分子网络信息分析体系；完成不少于2,000例乳腺癌分子网络构建；绘制基于临床信息的乳腺癌特征性分子网络谱图；研发分子网络信息识别、集成和解析的新技术；研发专用分子网络分析试剂。</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本方向国拨经费控制额为1000万元，拟支持1个课题，任务实施周期为3年。</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（5）卵巢癌和宫颈癌等女性肿瘤的蛋白质分子网络研究</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完成不少于1,200例卵巢癌、宫颈癌和子宫内膜癌等女性肿瘤的蛋白质分子网络分析；实现以核心调控蛋白质为节点的分子信号网络与临床信息的集成；绘制肿瘤特征性的蛋白质分子网络谱图并发现其变化规律。</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本方向国拨经费控制额为700万元，拟支持2个课题，任务实施周期为3年。</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（6）肾癌的蛋白质分子网络研究</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完成不少于1,000例肾癌的蛋白质分子网络分析；实现蛋白质分子信号网络与临床信息的集成；绘制肾癌特征性的蛋白质分子网络谱图，用于肾癌的临床诊断、耐药分析和预后判断。</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本方向国拨经费控制额为600万元，拟支持1个课题，任务实施周期为3年。</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（7）胰腺癌的蛋白质分子网络研究</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完成不少于1,200例胰腺癌的蛋白质分子网络分析；实现蛋白质分子信号网络与临床信息的集成；绘制胰腺癌特征性的蛋白质分子网络</w:t>
      </w:r>
      <w:r w:rsidR="00C57033" w:rsidRPr="00C57033">
        <w:rPr>
          <w:rFonts w:ascii="楷体_GB2312" w:eastAsia="楷体_GB2312" w:hAnsi="宋体" w:cs="宋体" w:hint="eastAsia"/>
          <w:color w:val="555555"/>
          <w:kern w:val="0"/>
          <w:sz w:val="28"/>
          <w:szCs w:val="28"/>
        </w:rPr>
        <w:lastRenderedPageBreak/>
        <w:t>谱图，用于胰腺癌的临床诊断、耐药分析和预后判断。</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本方向国拨经费控制额为1000万元，拟支持1个课题，任务实施周期为3年。</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（8）脑垂体瘤的分子网络研究</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完成不少于800例脑垂体瘤的分子网络分析；实现分子信号网络与临床信息的集成；绘制脑垂体瘤特征性的分子网络谱图，用于脑垂体瘤的临床诊断、耐药分析和预后判断。</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本方向国拨经费控制额为500万元，拟支持1个课题，任务实施周期为3年。</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（9）肿瘤蛋白质分子网络关键技术和产品的研发</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发展基于以上课题中肿瘤临床信息的多维可视化临床肿瘤蛋白质分子网络信息系统；完成多种肿瘤的蛋白质分子网络构建，发展全新概念的基于肿瘤蛋白质分子网络分析的新技术产品；研究用于蛋白质分子网络信息的识别、集成、融合和解析技术，研发相关网络信息分析产品。</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本方向国拨经费控制额为1500万元，拟支持1个课题，任务实施周期为3年。</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2. 疫苗产业化共性技术和装备研发</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（1）疫苗产业化新细胞基质研发</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筛选和构建适用于疫苗药物产业化的新型细胞基质，包括人二倍体细胞，动物细胞等进行广谱病毒的适应性传代培养等，以及多种基因工程蛋白质和抗体的高效表达；驯化适用于无血清培养的疫苗和抗体</w:t>
      </w:r>
      <w:r w:rsidR="00C57033" w:rsidRPr="00C57033">
        <w:rPr>
          <w:rFonts w:ascii="楷体_GB2312" w:eastAsia="楷体_GB2312" w:hAnsi="宋体" w:cs="宋体" w:hint="eastAsia"/>
          <w:color w:val="555555"/>
          <w:kern w:val="0"/>
          <w:sz w:val="28"/>
          <w:szCs w:val="28"/>
        </w:rPr>
        <w:lastRenderedPageBreak/>
        <w:t>药物产业化新型细胞基质，能够采用生物反应器等进行大规模培养，建立规模化培养技术平台。</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本方向国拨经费控制额为700万元，拟支持2个课题，任务实施周期为3年，由企业牵头申报。</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（2）个性化细胞培养基、无血清培养基研究开发</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研制适用于动物细胞规模化培养的无血清培养基；研制适用于病毒性疫苗制备和生产的无血清，无蛋白培养基和可用于流加培养的浓缩无血清培养基和个性化细胞培养基；建立符合GMP标准的大规模粉末培养基制备技术平台，研究大规模粉末培养基制备的质量控制技术和质量标准。</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本方向国拨经费控制额为1300万元，拟支持2个课题，任务实施周期为3年，由企业牵头申报。</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（3）高效分离纯化介质开发及应用</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开发系列抗污染、高通量、高选择性超滤膜、透析膜分离材料和不具免疫原性且特异性吸附能力强的新型层析介质，建立高性能分离膜及层析介质规模化制备技术，开展疫苗等大分子生物药物的纯化工艺研究和应用示范。</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本方向国拨经费控制额为1000万元，拟支持1个课题，任务实施周期为3年，由企业牵头申报。</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（4）高效分离纯化装备研制及应用开发</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开发低剪切膜分离技术、多柱组合层析技术及关键参数在线检测和控制技术；研究低剪切膜分离设备、多柱组合层析分离设备和膜-层</w:t>
      </w:r>
      <w:r w:rsidR="00C57033" w:rsidRPr="00C57033">
        <w:rPr>
          <w:rFonts w:ascii="楷体_GB2312" w:eastAsia="楷体_GB2312" w:hAnsi="宋体" w:cs="宋体" w:hint="eastAsia"/>
          <w:color w:val="555555"/>
          <w:kern w:val="0"/>
          <w:sz w:val="28"/>
          <w:szCs w:val="28"/>
        </w:rPr>
        <w:lastRenderedPageBreak/>
        <w:t>析集成分离装备的设计、优化、放大和制造；研究膜-层析集成分离工艺和装备，建立疫苗生产应用示范。</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本方向国拨经费控制额为1000万元，拟支持1个课题，任务实施周期为3年，由企业牵头申报。</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（5）大规模动物细胞培养技术研究及装备开发</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建立基于多尺度参数相关分析及代谢流分析的动物细胞培养过程优化策略，建立基于流场特性与细胞生理代谢特性的大规模动物细胞培养过程放大技术；研制哺乳动物细胞大规模培养装置，积极开展动物细胞大规模培养主体设备设计制造，建立符合GMP标准生产的50L-500L-3000L哺乳动物细胞培养生物反应器装备系统，开发GMP标准的各类动物细胞生物反应器装置技术及GMP标准模块化车间设计。</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本方向国拨经费控制额为2000万元，拟支持2个课题，任务实施周期为3年，由企业牵头申报。</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3. 人体营养素检测关键技术与产品开发</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（1）人体维生素与抗氧化能力等检测系统及配套试剂的研发</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研发全自动分析系统及配套维生素检测试剂盒，包括但不限于维生素B12、叶酸、谷胱甘肽过氧化物酶、总抗氧化活性等项目。研制可实现荧光强度检测，紫外可见吸收光检测，化学与生物发光检测，时间分辨荧光检测的多功能临床营养分析仪，实现对多种营养成分的快速、准确定量分析。</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本方向国拨经费控制额为1000万元，拟支持2个课题，任务实施</w:t>
      </w:r>
      <w:r w:rsidR="00C57033" w:rsidRPr="00C57033">
        <w:rPr>
          <w:rFonts w:ascii="楷体_GB2312" w:eastAsia="楷体_GB2312" w:hAnsi="宋体" w:cs="宋体" w:hint="eastAsia"/>
          <w:color w:val="555555"/>
          <w:kern w:val="0"/>
          <w:sz w:val="28"/>
          <w:szCs w:val="28"/>
        </w:rPr>
        <w:lastRenderedPageBreak/>
        <w:t>周期为3年，由企业牵头申报。</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（2）人体微量元素分析系统及半自动/全自动人体肠道微生态分析仪的研制</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研发基于电感耦合等离子体质谱（ICP-MS）等分析技术的微量元素分析系统，实现对10种以上人体微量元素的准确、高灵敏分析。研制半自动/全自动人体肠道微生态分析仪，可对样品中的微生物做湿片分类，可检出不少于20种预成酶和10种微生物代谢产物。配套试剂要求采用逐层组合多酶多底物的点阵技术，满足门诊和住院病人肠道微生态分析的需要。</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本方向国拨经费控制额为1000万元，拟支持2个课题，任务实施周期为3年，由企业牵头申报。</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三、现代医学技术主题</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1. 实用新型人源化动物模型的研发及其转化应用研究</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（1）具有人类造血免疫系统的人源化动物模型的研发及其转化应用</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建立4-5种具有人类造血免疫系统的人源化动物模型，应用于重大疾病诊断、防治技术的转化。</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本方向国拨经费控制额为1500万元，拟支持2个课题，任务实施周期为3年。</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（2）重大疾病的人源化动物模型的研发及其转化应用</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针对恶性肿瘤、心脑血管疾病、代谢性疾病、自身免疫性疾病、遗传性疾病等重大疾病建立人源化动物模型，并应用于重大疾病诊断、</w:t>
      </w:r>
      <w:r w:rsidR="00C57033" w:rsidRPr="00C57033">
        <w:rPr>
          <w:rFonts w:ascii="楷体_GB2312" w:eastAsia="楷体_GB2312" w:hAnsi="宋体" w:cs="宋体" w:hint="eastAsia"/>
          <w:color w:val="555555"/>
          <w:kern w:val="0"/>
          <w:sz w:val="28"/>
          <w:szCs w:val="28"/>
        </w:rPr>
        <w:lastRenderedPageBreak/>
        <w:t>防治技术的转化。</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本方向国拨经费控制额为1500万元，拟支持2个课题，任务实施周期为3年。</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2. 结直肠癌诊治新型关键技术研究及转化应用</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（1）结直肠癌临床疗效与预后判断生物标志的筛选</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筛选结直肠癌及癌旁组织中影响结直肠癌疗效和预后判断的免疫与炎症相关细胞及差异表达的关键分子，在此基础上开展相应的治疗干预技术研究。发现和确证2－3项对结直肠癌疗效或预后判断具有重要价值的生物标志物或新方法。</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本方向国拨经费控制额为1300万元，拟支持1个课题，任务实施周期为3年。</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（2）结直肠癌早期诊断关键技术研究</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筛选结直肠癌代谢分泌物及血液中应用于结直肠癌早期诊断的关键分子，研究其在结直肠癌中的早期诊断应用价值，并开展相应的关键技术和产品研发。研发1-2项对结直肠癌早期诊断具有重要价值的相关产品和关键技术。</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本方向国拨经费控制额为700万元，拟支持1个课题，任务实施周期为3年。</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3. 生物治疗新型前沿技术及新型产品研发</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（1）体细胞治疗制品临床级细胞分离关键技术研究</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开展临床级体细胞（非干细胞）分离免疫磁性粒子及相关装置的研发，结合目前我国进入临床研究的细胞治疗制品的制备工艺，建立前</w:t>
      </w:r>
      <w:r w:rsidR="00C57033" w:rsidRPr="00C57033">
        <w:rPr>
          <w:rFonts w:ascii="楷体_GB2312" w:eastAsia="楷体_GB2312" w:hAnsi="宋体" w:cs="宋体" w:hint="eastAsia"/>
          <w:color w:val="555555"/>
          <w:kern w:val="0"/>
          <w:sz w:val="28"/>
          <w:szCs w:val="28"/>
        </w:rPr>
        <w:lastRenderedPageBreak/>
        <w:t>体细胞的规模化高效分离技术，完成样机制造和科学验证。</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本方向国拨经费控制额为3000万元，拟支持2个课题，任务实施周期为3年。</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（2）新型效应细胞的规模化制备及高效诱导分化关键技术研究</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建立基于特异性识别受体修饰的效应细胞规模化制备技术；建立效应细胞的高效诱导分化技术；建立基于细胞反应器的个体化临床级规模化制备技术。</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本方向国拨经费控制额为2000万元，拟支持2个课题，任务实施周期为3年。</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（3）慢性疾病新型疫苗的研发</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针对非传染性慢性疾病包括糖尿病、哮喘、高血压、肥胖等慢性疾病研发新型疫苗。</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本方向国拨经费控制额为1000万元，拟支持2个课题，任务实施周期为3年。</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（4）靶向可控基因治疗关键技术研究</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开展基因治疗关键技术和新型前沿技术研发，主要包括新型靶向可控基因治疗载体研发和基因靶向导入及可调控表达新技术研究，带动相关产品的研发。</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本方向国拨经费控制额为2000万元，拟支持2个课题，任务实施周期为3年。</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四、工业生物技术主题</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1.工业蛋白质高效表达系统的构建与应用</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lastRenderedPageBreak/>
        <w:t xml:space="preserve">  </w:t>
      </w:r>
      <w:r w:rsidR="00C57033" w:rsidRPr="00C57033">
        <w:rPr>
          <w:rFonts w:ascii="楷体_GB2312" w:eastAsia="楷体_GB2312" w:hAnsi="宋体" w:cs="宋体" w:hint="eastAsia"/>
          <w:color w:val="555555"/>
          <w:kern w:val="0"/>
          <w:sz w:val="28"/>
          <w:szCs w:val="28"/>
        </w:rPr>
        <w:t>（1）蛋白质合成代谢优化与酵母表达系统的构建及应用</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研究构建克鲁维酵母、毕赤酵母等表达系统，改造关键基因，优化宿主生长与蛋白质合成等能力，提高工程菌株生物量与目标蛋白质表达水平，并开展其在酶制剂生产中的大规模高密度发酵试验。</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本方向国拨经费控制额为1200万元，拟支持1个课题，任务实施周期为3年。</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（2）蛋白质可溶性表达与大肠杆菌表达系统的构建与应用</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改造大肠杆菌碳源代谢途径，加强外源蛋白质合成中氨基酸补给、辅酶循环、能量供应；控制外源基因转录、翻译速率及分子伴侣改造，提升蛋白质表达水平，进行高密度发酵试验与规模化应用试验。</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本方向国拨经费控制额为900万元，拟支持1个课题，任务实施周期为3年。</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（3）蛋白质高拷贝表达与芽胞杆菌表达系统的构建与应用</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构建由多重启动子、信号肽以及质粒表达与染色体整合表达的蛋白质高效表达系统，优化蛋白质分泌和蛋白质切割系统，显著提升蛋白质表达水平，应用于多种酶制剂的重组表达，实现规模化开发。</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本方向国拨经费控制额为900万元，拟支持1个课题，任务实施周期为3年。</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2. 营养化学品生物合成技术</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（1）抗氧化类营养化学品生产菌的系统优化</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进行抗氧化类营养化学品合成的微生物育种，提高辅酶Q10、虾青素等发酵水平，优化发酵工艺与分离精制工艺，降低发酵生产成本，</w:t>
      </w:r>
      <w:r w:rsidR="00C57033" w:rsidRPr="00C57033">
        <w:rPr>
          <w:rFonts w:ascii="楷体_GB2312" w:eastAsia="楷体_GB2312" w:hAnsi="宋体" w:cs="宋体" w:hint="eastAsia"/>
          <w:color w:val="555555"/>
          <w:kern w:val="0"/>
          <w:sz w:val="28"/>
          <w:szCs w:val="28"/>
        </w:rPr>
        <w:lastRenderedPageBreak/>
        <w:t>提高产品质量，实现抗氧化类营养化学品发酵生产的产业化示范。</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本方向国拨经费控制额为1500万元，拟支持2个课题，任务实施周期为3年，由企业牵头申报。</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（2）多不饱和脂肪酸的发酵生产</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选育ARA、DHA等多不饱和脂肪酸的新一代高效生产菌种，大幅提高其产量、拓宽原料范围；研究发酵过程优化与控制、大容积发酵罐工艺放大及分离提取新技术，提高产品生产强度、转化率和收率。</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本方向国拨经费控制额为1500万元，拟支持2个课题，任务实施周期为3年，由企业牵头申报。</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（3）维生素类营养化学品生产菌的系统优化</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进行维生素类营养化学品合成的微生物育种，提高核黄素、维生素K2等发酵水平，优化发酵工艺与分离精制工艺，降低维生素类营养化学品发酵生产的生产成本，提高产品质量。</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本方向国拨经费控制额为1000万元，拟支持2个课题，任务实施周期为3年，由企业牵头申报。</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3. 非粮生物质原料的生物炼制技术</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（1）玉米芯组分的精细分离与转化技术</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开展半纤维素和/或纤维素水解产物生产糠醛、糠酸、呋喃、糖醇等高值产品研究；对木质素化学改性和转化，开发新型木质素提取和原料高值化利用技术，实现生物质原料的全利用。</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本方向国拨经费控制额为800万元，拟支持1课题，任务实施周期为3年，由企业牵头申报。</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lastRenderedPageBreak/>
        <w:t xml:space="preserve">  </w:t>
      </w:r>
      <w:r w:rsidR="00C57033" w:rsidRPr="00C57033">
        <w:rPr>
          <w:rFonts w:ascii="楷体_GB2312" w:eastAsia="楷体_GB2312" w:hAnsi="宋体" w:cs="宋体" w:hint="eastAsia"/>
          <w:color w:val="555555"/>
          <w:kern w:val="0"/>
          <w:sz w:val="28"/>
          <w:szCs w:val="28"/>
        </w:rPr>
        <w:t>（2）生物炼制系统技术与工艺集成</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选择集约性的非粮生物质为原料，开展有效组分的分离转化技术研究，系统集成和优化非粮生物质原料全组分利用技术，选型和匹配各工艺节点关键装备，实现示范生产。</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本方向国拨经费控制额为1200万元，拟支持2个课题，任务实施周期为3年，由企业牵头申报。</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4. 工业助剂的绿色制造技术</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（1）生物增塑剂的绿色催化技术</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选育高效工业生物催化剂，实现生物/化学催化合成工业助剂反应过程集成和工程放大。,开发和优化生物/化学催化转化制备柠檬酸酯、长链脂肪酸酯、二元醇酯和多元醇酯类生物增塑剂的工艺过程。</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本方向国拨经费控制额为1200万元，拟支持2个课题，任务实施周期为3年，由企业牵头申报。</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（2）糖脂类生物表面活性剂的双相发酵技术</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构建高产、稳定的糖脂类生物表面活性剂重组生产菌种；研究生物表面活性剂发酵过程控制和规模放大技术，以及分离提取工艺，建立先进、低成本的生物表面活性剂制造工艺。</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本方向国拨经费控制额为1200万元，拟支持2个课题，任务实施周期为3年，由企业牵头申报。</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（3）羟基酸类生物螯合剂的生物催化与转化技术</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挖掘乙醇酸和酒石酸等重要助剂生物制造的酶制剂或代谢途径关键酶基因；构建生物催化合成系统；开发水相、有机相或无溶剂酶催</w:t>
      </w:r>
      <w:r w:rsidR="00C57033" w:rsidRPr="00C57033">
        <w:rPr>
          <w:rFonts w:ascii="楷体_GB2312" w:eastAsia="楷体_GB2312" w:hAnsi="宋体" w:cs="宋体" w:hint="eastAsia"/>
          <w:color w:val="555555"/>
          <w:kern w:val="0"/>
          <w:sz w:val="28"/>
          <w:szCs w:val="28"/>
        </w:rPr>
        <w:lastRenderedPageBreak/>
        <w:t>化反应过程工艺并优化流程；研究过程集成和放大技术。</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本方向国拨经费控制额为1100万元，拟支持2个课题，任务实施周期为3年，由企业牵头申报。</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（4）胶原蛋白生物助剂的发酵合成与酶法修饰技术</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构建产胶原蛋白工程菌，建立高密度发酵控制策略及高效分离工艺，实现规模化生产；开发胶原蛋白的酶法/化学法修饰技术；开发胶原蛋白部分水解技术，建立可控分子量的胶原肽酶法合成技术。</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本方向国拨经费控制额为500万元，拟支持2个课题，任务实施周期为3年，由企业牵头申报。</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5. 大宗生物基化学品的衍生转化</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（1）谷氨酸和赖氨酸的脱氨与脱羧技术</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开展大宗氨基酸的衍生转化关键技术研究，建立谷氨酸到戊二酸、赖氨酸到戊二胺及其衍生物、戊二胺类至生物基尼龙的产品路线，完成产品中试。</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本方向国拨经费控制额为1000万元，拟支持2个课题，任务实施周期为3年，由企业牵头申报。</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（2）丁二酸和乳酸的脱水、加氢衍生转化</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研究丁二酸、乳酸等有机酸的生物与化学转化技术，开展有机酸脱水、加氢等生物/化学催化剂的设计构建，构建丁二酸到1,4-丁二醇、乳酸到丙酮酸、丙烯酸等的生物/化学转化路线，完成产品中试。</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本方向国拨经费控制额为1000万元，拟支持2个课题，任务实施周期为3年，由企业牵头申报。</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lastRenderedPageBreak/>
        <w:t xml:space="preserve">  </w:t>
      </w:r>
      <w:r w:rsidR="00C57033" w:rsidRPr="00C57033">
        <w:rPr>
          <w:rFonts w:ascii="楷体_GB2312" w:eastAsia="楷体_GB2312" w:hAnsi="宋体" w:cs="宋体" w:hint="eastAsia"/>
          <w:color w:val="555555"/>
          <w:kern w:val="0"/>
          <w:sz w:val="28"/>
          <w:szCs w:val="28"/>
        </w:rPr>
        <w:t>五、生物资源与安全主题</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1. 药食同源生物资源挖掘关键技术与产品开发</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（1）功能因子分离、提取和配伍等规模化生产关键技术</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利用现代分析技术建立功能因子分离、提取和配伍方法，开发重要萜类、多糖类、酚酸类等有效功能成分的安全、高效、规模化分离提取技术，开展功能成分增效、低温包埋、微囊微球化等高效制剂技术研究。</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本方向国拨经费控制额为1000万元，拟支持2个课题，任务实施周期为3年，由企业牵头申报。</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（2）药食同源生物资源应用于重大疾病治疗的组件和产品开发</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针对肝炎、肝功能衰竭患者肝细胞广泛坏死与营养代谢异常特点,研制促肝细胞再生制剂；根据恶性肿瘤等重症病人的代谢特点，开发具有调节炎性免疫反应、改善肠屏障功能、延缓重要器官功能衰竭的营养产品。</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本方向国拨经费控制额为1000万元，拟支持3个课题，任务实施周期为3年，由企业牵头申报。</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（3）益生菌资源挖掘与产品研发</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分离和鉴定一批具有特定功能的益生菌资源，建立菌种资源库，应用现代生物技术筛选和优化菌种，开发具有改善人体功能的益生菌系列产品。</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本方向国拨经费控制额为1000万元，拟支持2个课题，任务实施周期为3年，由企业牵头申报。</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lastRenderedPageBreak/>
        <w:t xml:space="preserve">  </w:t>
      </w:r>
      <w:r w:rsidR="00C57033" w:rsidRPr="00C57033">
        <w:rPr>
          <w:rFonts w:ascii="楷体_GB2312" w:eastAsia="楷体_GB2312" w:hAnsi="宋体" w:cs="宋体" w:hint="eastAsia"/>
          <w:color w:val="555555"/>
          <w:kern w:val="0"/>
          <w:sz w:val="28"/>
          <w:szCs w:val="28"/>
        </w:rPr>
        <w:t>2. 病原微生物实验室溯源和人员防护关键技术的研究</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（1）病原微生物实验室溯源关键技术和产品的研究</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针对病原微生物实验室从事高致病性病原微生物研究潜在的生物危害，研究实验室感染性材料溯源和生物风险溯源关键技术和产品，建立高致病性病原微生物菌(毒)种特征信息数据库，构建信息提取和资源网络平台；建立实验室环境本底数据库、环境污染风险阈值数据库，研制实验室环境生物粒子多通道实时鉴别系统。</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本方向国拨经费控制额为2500万元，拟支持3个课题，任务实施周期为3年。</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（2）病原微生物实验室人员防护关键技术和产品的研究</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针对病原微生物实验室工作人员潜在的生物安全风险，开展人员防护关键技术和产品研究，研制人员防护装备佩戴密合度测定仪，感染小动物防护舱，人员防护装备生物定性检测用标准物质（模拟细菌和模拟病毒），以及针对高致病性病原微生物的特异人免疫球蛋白等系列防护产品。</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本方向国拨经费控制额为2500万元，拟支持3个课题，任务实施周期为3年。</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3. 特种昆虫资源在生物医药领域中的发掘与开发利用</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（1）白蜡高效生产技术及相关产品开发</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在充分发掘白蜡虫可利用资源的基础上，根据白蜡虫泌蜡机理和相关基因的研究成果，采用RNA干扰等分子调控技术，刺激白蜡虫泌蜡，提高白蜡产量。研发无溶剂虫白蜡新技术，开发24、26、28和30烷</w:t>
      </w:r>
      <w:r w:rsidR="00C57033" w:rsidRPr="00C57033">
        <w:rPr>
          <w:rFonts w:ascii="楷体_GB2312" w:eastAsia="楷体_GB2312" w:hAnsi="宋体" w:cs="宋体" w:hint="eastAsia"/>
          <w:color w:val="555555"/>
          <w:kern w:val="0"/>
          <w:sz w:val="28"/>
          <w:szCs w:val="28"/>
        </w:rPr>
        <w:lastRenderedPageBreak/>
        <w:t>醇等高附加值产品。</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本方向国拨经费控制额为500万元，拟支持1个课题，任务实施周期为3年，由企业牵头申报。</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（2）五倍子高效生产技术及相关产品开发</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研究五倍子蚜及其与寄主植物盐肤木的优良资源品种，以五倍子蚜高质量虫瘿为主攻对象，重点解决单宁高产资源与技术问题；攻克单宁含量最高的肚倍在自然条件下的雌蚜分化比例、数量稳定性问题，开发五倍子降解工程菌新品系资源及其新产品。</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本方向国拨经费控制额为500万元，拟支持1个课题，任务实施周期为3年，由企业牵头申报。</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（3）紫胶新工艺及系列新产品开发</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通过紫胶虫资源及其分泌物紫胶的深入研究，解决以传统、粗放的次氯酸钠漂白工艺为主技术瓶颈，突破H2O2漂白新工艺、低温快速干燥新技术，红色素和紫胶蜡精致提取技术等关键技术。</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本方向国拨经费控制额为500万元，拟支持1个课题，任务实施周期为3年，由企业牵头申报。</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4. 微藻生物固碳关键技术与产品开发</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（1）优良特色藻种的筛选和评价体系研究</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研究藻种评价指标体系和选育技术体系，获得性状优良的特色藻种，形成信息丰富、开放共享、具有自主知识产权的富含活性成分的微藻藻种（株）库和信息平台。</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本方向国拨经费控制额为800万元，拟支持1个课题，任务实施周</w:t>
      </w:r>
      <w:r w:rsidR="00C57033" w:rsidRPr="00C57033">
        <w:rPr>
          <w:rFonts w:ascii="楷体_GB2312" w:eastAsia="楷体_GB2312" w:hAnsi="宋体" w:cs="宋体" w:hint="eastAsia"/>
          <w:color w:val="555555"/>
          <w:kern w:val="0"/>
          <w:sz w:val="28"/>
          <w:szCs w:val="28"/>
        </w:rPr>
        <w:lastRenderedPageBreak/>
        <w:t>期为3年。</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（2）固碳微藻的大规模培养与调控关键技术</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开发高效、低成本、低能耗的开放式和封闭式光生物反应器，突破CO2气源净化、原位补碳、过程控制、水循环、病虫害防治等关键技术，优化微藻固碳的工艺条件，建设千吨级的微藻固碳示范线。</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本方向国拨经费控制额为1000万元，拟支持1个课题，任务实施周期为3年，由企业牵头申报。</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（3）微藻固碳产品多联产关键技术研究</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优化微藻高效固碳并积累活性产物的工艺条件，突破高效、绿色、低成本的微藻采收和后处理技术，开发藻基高附加值产品，实现藻渣的综合利用，构建微藻固碳产品的多联产技术体系。</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本方向国拨经费控制额为1200万元，拟支持3个课题，任务实施周期为3年，由企业牵头申报。</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六、青年科学家专题</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凡符合国家“863”计划生物和医药技术领域前沿生物技术主题、医药生物技术主题、现代医学技术主题、工业生物技术主题、生物资源与安全技术主题的研究内容均可自由申请（不受本指南已发内容限制）。申请内容应聚焦生物与医药技术领域的国际前沿，以掌握国际核心竞争力和自主知识产权为目标，以生命科学、人口健康和生物医药产业的共性需求为牵引，发展具有引领性的生物与医药新技术、新方法、新模型和新工具。课题研究内容应突出原创性，优先资助具有良好前景的研究项目。</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lastRenderedPageBreak/>
        <w:t xml:space="preserve">  </w:t>
      </w:r>
      <w:r w:rsidR="00C57033" w:rsidRPr="00C57033">
        <w:rPr>
          <w:rFonts w:ascii="楷体_GB2312" w:eastAsia="楷体_GB2312" w:hAnsi="宋体" w:cs="宋体" w:hint="eastAsia"/>
          <w:color w:val="555555"/>
          <w:kern w:val="0"/>
          <w:sz w:val="28"/>
          <w:szCs w:val="28"/>
        </w:rPr>
        <w:t>本项目拟安排国拨经费5000万元。支持30-40个课题，每个课题资助经费不超过150万元，实施年限3年。</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七、指南要求：</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1.青年科学家专题：</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申报要求：</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（1）青年科学家专题以课题为单位申报；</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（2）课题负责人应具有博士学位或高级职称，年龄不超过35周岁（截止指南发布之日）；</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（3）每个课题的承担单位为1个；</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（4） 除课题负责人外，课题参加人员不超过4人（含4人），；</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（5）课题负责人及课题参加人员投入本课题研究时间不得少于9个月/年。</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（6）第一轮申请表须经依托单位盖章方可生效。</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申报方式</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（1）课题申报采用两轮申报的形式；</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2）第一轮申报：由课题负责人在生物和医药技术领域内自由申报研究方向，申报材料包括课题名称、申报人姓名、承担单位、申报人有效联系信息及研究目标和内容，总字数不超过800字（仿宋四号字，1.25倍行距）。截止日期为5月16日。</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电子版发送至：863@cncbd.org.cn</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盖章纸质版快递至：中国生物技术发展中心政策协调处 收</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北京市海淀区西四环中路16号 4号楼</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lastRenderedPageBreak/>
        <w:t xml:space="preserve">  </w:t>
      </w:r>
      <w:r w:rsidR="00C57033" w:rsidRPr="00C57033">
        <w:rPr>
          <w:rFonts w:ascii="楷体_GB2312" w:eastAsia="楷体_GB2312" w:hAnsi="宋体" w:cs="宋体" w:hint="eastAsia"/>
          <w:color w:val="555555"/>
          <w:kern w:val="0"/>
          <w:sz w:val="28"/>
          <w:szCs w:val="28"/>
        </w:rPr>
        <w:t>邮编：10039</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（3）第二轮申报：通过第一轮评审的课题申报人将被邀请进行二次申报，按照863计划管理办法要求的格式填报完整的课题申请书，并进行答辩评审，择优支持。</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2.牵头或参与申报课题的企业，要求企业应至少具有3年以上从事申请课题内容相关的技术和产品开发的经验，具有配套的中试场所和基础设施，拥有相关同类产品的发明专利和稳定人才队伍，2012年相关产品的销售额在1000万以上，要求提供不少于1:2的配套经费。</w:t>
      </w:r>
      <w:r w:rsidR="00C57033" w:rsidRPr="00C57033">
        <w:rPr>
          <w:rFonts w:ascii="楷体_GB2312" w:eastAsia="楷体_GB2312" w:hAnsi="宋体" w:cs="宋体" w:hint="eastAsia"/>
          <w:color w:val="555555"/>
          <w:kern w:val="0"/>
          <w:sz w:val="28"/>
          <w:szCs w:val="28"/>
        </w:rPr>
        <w:br/>
      </w:r>
      <w:r>
        <w:rPr>
          <w:rFonts w:ascii="楷体_GB2312" w:eastAsia="楷体_GB2312" w:hAnsi="宋体" w:cs="宋体" w:hint="eastAsia"/>
          <w:color w:val="555555"/>
          <w:kern w:val="0"/>
          <w:sz w:val="28"/>
          <w:szCs w:val="28"/>
        </w:rPr>
        <w:t xml:space="preserve">  </w:t>
      </w:r>
      <w:r w:rsidR="00C57033" w:rsidRPr="00C57033">
        <w:rPr>
          <w:rFonts w:ascii="楷体_GB2312" w:eastAsia="楷体_GB2312" w:hAnsi="宋体" w:cs="宋体" w:hint="eastAsia"/>
          <w:color w:val="555555"/>
          <w:kern w:val="0"/>
          <w:sz w:val="28"/>
          <w:szCs w:val="28"/>
        </w:rPr>
        <w:t>3.咨询：中国生物技术发展中心政策协调处</w:t>
      </w:r>
      <w:r w:rsidR="00C57033" w:rsidRPr="00C57033">
        <w:rPr>
          <w:rFonts w:ascii="楷体_GB2312" w:eastAsia="楷体_GB2312" w:hAnsi="宋体" w:cs="宋体" w:hint="eastAsia"/>
          <w:color w:val="555555"/>
          <w:kern w:val="0"/>
          <w:sz w:val="28"/>
          <w:szCs w:val="28"/>
        </w:rPr>
        <w:br/>
      </w:r>
      <w:r w:rsidR="00C57033" w:rsidRPr="00C57033">
        <w:rPr>
          <w:rFonts w:ascii="宋体" w:eastAsia="楷体_GB2312" w:hAnsi="宋体" w:cs="宋体" w:hint="eastAsia"/>
          <w:color w:val="555555"/>
          <w:kern w:val="0"/>
          <w:sz w:val="28"/>
          <w:szCs w:val="28"/>
        </w:rPr>
        <w:t>   </w:t>
      </w:r>
      <w:r w:rsidR="00C57033" w:rsidRPr="00C57033">
        <w:rPr>
          <w:rFonts w:ascii="楷体_GB2312" w:eastAsia="楷体_GB2312" w:hAnsi="宋体" w:cs="宋体" w:hint="eastAsia"/>
          <w:color w:val="555555"/>
          <w:kern w:val="0"/>
          <w:sz w:val="28"/>
          <w:szCs w:val="28"/>
        </w:rPr>
        <w:t xml:space="preserve"> 010-88225177,88225164</w:t>
      </w:r>
      <w:r w:rsidR="00C57033" w:rsidRPr="00C57033">
        <w:rPr>
          <w:rFonts w:ascii="楷体_GB2312" w:eastAsia="楷体_GB2312" w:hAnsi="宋体" w:cs="宋体" w:hint="eastAsia"/>
          <w:color w:val="555555"/>
          <w:kern w:val="0"/>
          <w:sz w:val="28"/>
          <w:szCs w:val="28"/>
        </w:rPr>
        <w:br/>
      </w:r>
      <w:r w:rsidR="00C57033" w:rsidRPr="00C57033">
        <w:rPr>
          <w:rFonts w:ascii="宋体" w:eastAsia="楷体_GB2312" w:hAnsi="宋体" w:cs="宋体" w:hint="eastAsia"/>
          <w:color w:val="555555"/>
          <w:kern w:val="0"/>
          <w:sz w:val="28"/>
          <w:szCs w:val="28"/>
        </w:rPr>
        <w:t>   </w:t>
      </w:r>
      <w:r w:rsidR="00C57033" w:rsidRPr="00C57033">
        <w:rPr>
          <w:rFonts w:ascii="楷体_GB2312" w:eastAsia="楷体_GB2312" w:hAnsi="宋体" w:cs="宋体" w:hint="eastAsia"/>
          <w:color w:val="555555"/>
          <w:kern w:val="0"/>
          <w:sz w:val="28"/>
          <w:szCs w:val="28"/>
        </w:rPr>
        <w:t xml:space="preserve"> 本领域网上申报具体时段为2013年5月18日8:00至6月3日17:00，北京地区推荐单位的纸质申报材料请于网上申报截止后一周内报送相关受理单位，京外推荐单位10日内报送。</w:t>
      </w:r>
      <w:r w:rsidR="00C57033" w:rsidRPr="00C57033">
        <w:rPr>
          <w:rFonts w:ascii="楷体_GB2312" w:eastAsia="楷体_GB2312" w:hAnsi="宋体" w:cs="宋体" w:hint="eastAsia"/>
          <w:color w:val="555555"/>
          <w:kern w:val="0"/>
          <w:sz w:val="28"/>
          <w:szCs w:val="28"/>
        </w:rPr>
        <w:br/>
      </w:r>
      <w:r w:rsidR="00C57033" w:rsidRPr="00C57033">
        <w:rPr>
          <w:rFonts w:ascii="宋体" w:eastAsia="楷体_GB2312" w:hAnsi="宋体" w:cs="宋体" w:hint="eastAsia"/>
          <w:color w:val="555555"/>
          <w:kern w:val="0"/>
          <w:sz w:val="28"/>
          <w:szCs w:val="28"/>
        </w:rPr>
        <w:t>   </w:t>
      </w:r>
      <w:r w:rsidR="00C57033" w:rsidRPr="00C57033">
        <w:rPr>
          <w:rFonts w:ascii="楷体_GB2312" w:eastAsia="楷体_GB2312" w:hAnsi="宋体" w:cs="宋体" w:hint="eastAsia"/>
          <w:color w:val="555555"/>
          <w:kern w:val="0"/>
          <w:sz w:val="28"/>
          <w:szCs w:val="28"/>
        </w:rPr>
        <w:t xml:space="preserve"> 其它要求请见《国家高技术研究发展计划（863计划）、国家科技支撑计划2014年备选项目征集要求》（</w:t>
      </w:r>
      <w:hyperlink r:id="rId6" w:history="1">
        <w:r w:rsidR="00C57033" w:rsidRPr="00C57033">
          <w:rPr>
            <w:rFonts w:ascii="楷体_GB2312" w:eastAsia="楷体_GB2312" w:hAnsi="宋体" w:cs="宋体" w:hint="eastAsia"/>
            <w:color w:val="000099"/>
            <w:spacing w:val="8"/>
            <w:kern w:val="0"/>
            <w:sz w:val="28"/>
            <w:szCs w:val="28"/>
          </w:rPr>
          <w:t>http://www.most.gov.cn/tztg/201304/t20130416_100842.htm</w:t>
        </w:r>
      </w:hyperlink>
      <w:r w:rsidR="00C57033" w:rsidRPr="00C57033">
        <w:rPr>
          <w:rFonts w:ascii="楷体_GB2312" w:eastAsia="楷体_GB2312" w:hAnsi="宋体" w:cs="宋体" w:hint="eastAsia"/>
          <w:color w:val="555555"/>
          <w:kern w:val="0"/>
          <w:sz w:val="28"/>
          <w:szCs w:val="28"/>
        </w:rPr>
        <w:t>。）</w:t>
      </w:r>
    </w:p>
    <w:p w:rsidR="00681485" w:rsidRPr="00C57033" w:rsidRDefault="00681485">
      <w:pPr>
        <w:rPr>
          <w:rFonts w:ascii="楷体_GB2312" w:eastAsia="楷体_GB2312" w:hint="eastAsia"/>
          <w:sz w:val="28"/>
          <w:szCs w:val="28"/>
        </w:rPr>
      </w:pPr>
    </w:p>
    <w:sectPr w:rsidR="00681485" w:rsidRPr="00C57033" w:rsidSect="0068148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1317" w:rsidRDefault="001D1317" w:rsidP="00B647B3">
      <w:r>
        <w:separator/>
      </w:r>
    </w:p>
  </w:endnote>
  <w:endnote w:type="continuationSeparator" w:id="0">
    <w:p w:rsidR="001D1317" w:rsidRDefault="001D1317" w:rsidP="00B647B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1317" w:rsidRDefault="001D1317" w:rsidP="00B647B3">
      <w:r>
        <w:separator/>
      </w:r>
    </w:p>
  </w:footnote>
  <w:footnote w:type="continuationSeparator" w:id="0">
    <w:p w:rsidR="001D1317" w:rsidRDefault="001D1317" w:rsidP="00B647B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647B3"/>
    <w:rsid w:val="00024F0D"/>
    <w:rsid w:val="00151C67"/>
    <w:rsid w:val="001D1317"/>
    <w:rsid w:val="001E027F"/>
    <w:rsid w:val="002F37E1"/>
    <w:rsid w:val="00444DE2"/>
    <w:rsid w:val="004D1CB6"/>
    <w:rsid w:val="00520964"/>
    <w:rsid w:val="00567F99"/>
    <w:rsid w:val="00586904"/>
    <w:rsid w:val="00677575"/>
    <w:rsid w:val="00681485"/>
    <w:rsid w:val="006973E3"/>
    <w:rsid w:val="00883368"/>
    <w:rsid w:val="00954180"/>
    <w:rsid w:val="009A34E9"/>
    <w:rsid w:val="00AC668B"/>
    <w:rsid w:val="00B647B3"/>
    <w:rsid w:val="00B6583F"/>
    <w:rsid w:val="00C57033"/>
    <w:rsid w:val="00C608A4"/>
    <w:rsid w:val="00D0199D"/>
    <w:rsid w:val="00D42CF5"/>
    <w:rsid w:val="00D67C98"/>
    <w:rsid w:val="00D84F78"/>
    <w:rsid w:val="00DB3E85"/>
    <w:rsid w:val="00DC1A84"/>
    <w:rsid w:val="00DD7CD9"/>
    <w:rsid w:val="00F049AF"/>
    <w:rsid w:val="00F64D50"/>
    <w:rsid w:val="00FA35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48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647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647B3"/>
    <w:rPr>
      <w:sz w:val="18"/>
      <w:szCs w:val="18"/>
    </w:rPr>
  </w:style>
  <w:style w:type="paragraph" w:styleId="a4">
    <w:name w:val="footer"/>
    <w:basedOn w:val="a"/>
    <w:link w:val="Char0"/>
    <w:uiPriority w:val="99"/>
    <w:semiHidden/>
    <w:unhideWhenUsed/>
    <w:rsid w:val="00B647B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647B3"/>
    <w:rPr>
      <w:sz w:val="18"/>
      <w:szCs w:val="18"/>
    </w:rPr>
  </w:style>
  <w:style w:type="paragraph" w:styleId="a5">
    <w:name w:val="Normal (Web)"/>
    <w:basedOn w:val="a"/>
    <w:uiPriority w:val="99"/>
    <w:unhideWhenUsed/>
    <w:rsid w:val="00B647B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975791204">
      <w:bodyDiv w:val="1"/>
      <w:marLeft w:val="0"/>
      <w:marRight w:val="0"/>
      <w:marTop w:val="0"/>
      <w:marBottom w:val="0"/>
      <w:divBdr>
        <w:top w:val="none" w:sz="0" w:space="0" w:color="auto"/>
        <w:left w:val="none" w:sz="0" w:space="0" w:color="auto"/>
        <w:bottom w:val="none" w:sz="0" w:space="0" w:color="auto"/>
        <w:right w:val="none" w:sz="0" w:space="0" w:color="auto"/>
      </w:divBdr>
      <w:divsChild>
        <w:div w:id="15246366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st.gov.cn/tztg/201304/t20130416_100842.ht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1765</Words>
  <Characters>10067</Characters>
  <Application>Microsoft Office Word</Application>
  <DocSecurity>0</DocSecurity>
  <Lines>83</Lines>
  <Paragraphs>23</Paragraphs>
  <ScaleCrop>false</ScaleCrop>
  <Company>微软中国</Company>
  <LinksUpToDate>false</LinksUpToDate>
  <CharactersWithSpaces>11809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2013-04-17T08:20:00Z</dcterms:created>
  <dcterms:modified xsi:type="dcterms:W3CDTF">2013-04-23T09:05:00Z</dcterms:modified>
</cp:coreProperties>
</file>